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E2E8D">
      <w:pPr>
        <w:overflowPunct w:val="0"/>
        <w:outlineLvl w:val="0"/>
        <w:rPr>
          <w:b/>
          <w:bCs/>
          <w:kern w:val="28"/>
          <w:lang w:val="en-US"/>
        </w:rPr>
      </w:pPr>
      <w:bookmarkStart w:id="0" w:name="_GoBack"/>
      <w:bookmarkEnd w:id="0"/>
      <w:r>
        <w:rPr>
          <w:b/>
          <w:bCs/>
          <w:sz w:val="32"/>
          <w:szCs w:val="32"/>
          <w:lang w:val="en-US"/>
        </w:rPr>
        <w:t>Obec  OSLNOVICE</w:t>
      </w:r>
      <w:r>
        <w:rPr>
          <w:lang w:val="en-US"/>
        </w:rPr>
        <w:t xml:space="preserve">                                 </w:t>
      </w:r>
    </w:p>
    <w:p w:rsidR="00000000" w:rsidRDefault="00FE2E8D">
      <w:pPr>
        <w:overflowPunct w:val="0"/>
        <w:rPr>
          <w:b/>
          <w:bCs/>
          <w:kern w:val="28"/>
          <w:lang w:val="en-US"/>
        </w:rPr>
      </w:pPr>
      <w:r>
        <w:rPr>
          <w:b/>
          <w:bCs/>
          <w:lang w:val="en-US"/>
        </w:rPr>
        <w:t> </w:t>
      </w:r>
    </w:p>
    <w:p w:rsidR="00000000" w:rsidRDefault="00FE2E8D">
      <w:pPr>
        <w:overflowPunct w:val="0"/>
        <w:rPr>
          <w:b/>
          <w:bCs/>
          <w:kern w:val="28"/>
          <w:lang w:val="en-US"/>
        </w:rPr>
      </w:pPr>
      <w:r>
        <w:rPr>
          <w:b/>
          <w:bCs/>
          <w:lang w:val="en-US"/>
        </w:rPr>
        <w:t> </w:t>
      </w:r>
    </w:p>
    <w:p w:rsidR="00000000" w:rsidRDefault="00FE2E8D">
      <w:pPr>
        <w:overflowPunct w:val="0"/>
        <w:rPr>
          <w:b/>
          <w:bCs/>
          <w:kern w:val="28"/>
          <w:lang w:val="en-US"/>
        </w:rPr>
      </w:pPr>
      <w:r>
        <w:rPr>
          <w:b/>
          <w:bCs/>
          <w:lang w:val="en-US"/>
        </w:rPr>
        <w:t> </w:t>
      </w:r>
    </w:p>
    <w:p w:rsidR="00000000" w:rsidRDefault="00FE2E8D">
      <w:pPr>
        <w:overflowPunct w:val="0"/>
        <w:rPr>
          <w:b/>
          <w:bCs/>
          <w:kern w:val="28"/>
          <w:lang w:val="en-US"/>
        </w:rPr>
      </w:pPr>
      <w:r>
        <w:rPr>
          <w:b/>
          <w:bCs/>
          <w:lang w:val="en-US"/>
        </w:rPr>
        <w:t> </w:t>
      </w:r>
    </w:p>
    <w:p w:rsidR="00000000" w:rsidRDefault="00FE2E8D">
      <w:pPr>
        <w:overflowPunct w:val="0"/>
        <w:rPr>
          <w:b/>
          <w:bCs/>
          <w:kern w:val="28"/>
          <w:lang w:val="en-US"/>
        </w:rPr>
      </w:pPr>
      <w:r>
        <w:rPr>
          <w:b/>
          <w:bCs/>
          <w:lang w:val="en-US"/>
        </w:rPr>
        <w:t xml:space="preserve">                                      Obecně závazná vyhláška   č. 2/2005.,</w:t>
      </w:r>
    </w:p>
    <w:p w:rsidR="00000000" w:rsidRDefault="00FE2E8D">
      <w:pPr>
        <w:overflowPunct w:val="0"/>
        <w:rPr>
          <w:b/>
          <w:bCs/>
          <w:kern w:val="28"/>
          <w:lang w:val="en-US"/>
        </w:rPr>
      </w:pPr>
      <w:r>
        <w:rPr>
          <w:b/>
          <w:bCs/>
          <w:lang w:val="en-US"/>
        </w:rPr>
        <w:t xml:space="preserve">           </w:t>
      </w:r>
    </w:p>
    <w:p w:rsidR="00000000" w:rsidRDefault="00FE2E8D">
      <w:pPr>
        <w:overflowPunct w:val="0"/>
        <w:rPr>
          <w:b/>
          <w:bCs/>
          <w:kern w:val="28"/>
          <w:lang w:val="en-US"/>
        </w:rPr>
      </w:pPr>
      <w:r>
        <w:rPr>
          <w:b/>
          <w:bCs/>
          <w:lang w:val="en-US"/>
        </w:rPr>
        <w:t xml:space="preserve">                    o místní</w:t>
      </w:r>
      <w:r>
        <w:rPr>
          <w:b/>
          <w:bCs/>
          <w:lang w:val="en-US"/>
        </w:rPr>
        <w:t>m poplatku za provozovaný výherní hrací přístroj</w:t>
      </w:r>
    </w:p>
    <w:p w:rsidR="00000000" w:rsidRDefault="00FE2E8D">
      <w:pPr>
        <w:overflowPunct w:val="0"/>
        <w:rPr>
          <w:b/>
          <w:bCs/>
          <w:kern w:val="28"/>
          <w:lang w:val="en-US"/>
        </w:rPr>
      </w:pPr>
      <w:r>
        <w:rPr>
          <w:b/>
          <w:bCs/>
          <w:lang w:val="en-US"/>
        </w:rPr>
        <w:t> </w:t>
      </w:r>
    </w:p>
    <w:p w:rsidR="00000000" w:rsidRDefault="00FE2E8D">
      <w:pPr>
        <w:overflowPunct w:val="0"/>
        <w:rPr>
          <w:b/>
          <w:bCs/>
          <w:kern w:val="28"/>
          <w:lang w:val="en-US"/>
        </w:rPr>
      </w:pPr>
      <w:r>
        <w:rPr>
          <w:b/>
          <w:bCs/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b/>
          <w:bCs/>
          <w:lang w:val="en-US"/>
        </w:rPr>
        <w:t xml:space="preserve">    </w:t>
      </w:r>
      <w:r>
        <w:rPr>
          <w:lang w:val="en-US"/>
        </w:rPr>
        <w:t>Zastupitelstvo obce Oslnovice se na svém zasedání dne 25. 11. 2005 usnesením č. 7. usneslo vydat na základě § 14 odst. 2 zákona č. 565/1990 Sb., o místních poplatcích, ve znění zákona č. 320/2002 Sb.</w:t>
      </w:r>
      <w:r>
        <w:rPr>
          <w:lang w:val="en-US"/>
        </w:rPr>
        <w:t>, a v souladu s § 10 písm. d) zákona 128/2000 Sb., o obcích (obecní zřízení), ve znění zákona č. 313/2002 Sb., a § 84 odst.2 písm. i) zákona č. 128/2000 Sb., o obcích(obecní zřízení), tuto obecně závaznou vyhlášku: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                                   </w:t>
      </w:r>
      <w:r>
        <w:rPr>
          <w:lang w:val="en-US"/>
        </w:rPr>
        <w:t xml:space="preserve">                        ČI. I.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                                               Úvodní ustanovení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 xml:space="preserve">    Obec  Oslnovice touto obecně závaznou vyhláškou zavádí místní poplatek za provozovaný výherní hrací přístroj (dále jen ;poplatek”).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            </w:t>
      </w:r>
      <w:r>
        <w:rPr>
          <w:lang w:val="en-US"/>
        </w:rPr>
        <w:t xml:space="preserve">                                                 ČI. 2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                                                Ohlašovací povinnost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 xml:space="preserve">   (1) Poplatník je povinen ohlásit uvedení výherního hracího přístroje do provozu, a to ve lhůtě do 10 dnů od uvedení do prov</w:t>
      </w:r>
      <w:r>
        <w:rPr>
          <w:lang w:val="en-US"/>
        </w:rPr>
        <w:t>ozu.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 xml:space="preserve">   (2)  Při plnění ohlašovací povinnosti je poplatník povinen sdělit správci poplatku název právnické osoby, sídlo, IČO a uvést čísla úctu u peněžních ústavu, na nichž jsou soustředěny peněžní prostředky z její podnikatelské činnosti.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 xml:space="preserve">   (3)  Popl</w:t>
      </w:r>
      <w:r>
        <w:rPr>
          <w:lang w:val="en-US"/>
        </w:rPr>
        <w:t>atník je rovněž povinen ohlásit správci poplatku do 10 dnů jakékoliv změny v ohlášených skutečnostech.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                                                              ČI. 3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                                                     Sazba poplatku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  (1)  Sazba poplatku za každý provozovaný výherní hrací přístroj činí  5.000,- Kč 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na 3 měsíce.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(2)  V případě, že výherní hrací přístroj je provozován po dobu kratší než 3 měsíce, platí se poplatek v poměrné výši.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                        </w:t>
      </w:r>
      <w:r>
        <w:rPr>
          <w:lang w:val="en-US"/>
        </w:rPr>
        <w:t xml:space="preserve">                                        ČI. 4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                                                       Splatnost poplatku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lastRenderedPageBreak/>
        <w:t> 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    Poplatek je splatný do 10 dnů po ohlášení.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                                                                 ČI. 5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                                                        Zrušovací ustanovení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 xml:space="preserve">   Zrušuje se obecně závazná vyhláška č 3/2000  O místním poplatku za provozovaný výherní hrací přístroj.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                                                          ČI. 6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                                                       Úcinnost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lang w:val="en-US"/>
        </w:rPr>
        <w:t xml:space="preserve">     Tato obecně závazná vyhláška obce nabývá úcinnosti dnem 25. 11. 2005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 xml:space="preserve">...................................................                                               </w:t>
      </w:r>
      <w:r>
        <w:rPr>
          <w:lang w:val="en-US"/>
        </w:rPr>
        <w:t>..........................................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místostarosta Miloslav Čerstvý                                                 starosta  Miloš Voříšek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rPr>
          <w:kern w:val="28"/>
          <w:lang w:val="en-US"/>
        </w:rPr>
      </w:pPr>
      <w:r>
        <w:rPr>
          <w:lang w:val="en-US"/>
        </w:rPr>
        <w:t> </w:t>
      </w:r>
    </w:p>
    <w:p w:rsidR="00000000" w:rsidRDefault="00FE2E8D">
      <w:pPr>
        <w:overflowPunct w:val="0"/>
        <w:outlineLvl w:val="0"/>
        <w:rPr>
          <w:kern w:val="28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Vyvěšeno na úrední desce dne:  </w:t>
      </w:r>
      <w:r>
        <w:rPr>
          <w:b/>
          <w:bCs/>
          <w:sz w:val="20"/>
          <w:szCs w:val="20"/>
          <w:lang w:val="en-US"/>
        </w:rPr>
        <w:t>7. 11. 2005</w:t>
      </w:r>
    </w:p>
    <w:p w:rsidR="00000000" w:rsidRDefault="00FE2E8D">
      <w:pPr>
        <w:overflowPunct w:val="0"/>
        <w:rPr>
          <w:kern w:val="28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000000" w:rsidRDefault="00FE2E8D">
      <w:pPr>
        <w:overflowPunct w:val="0"/>
        <w:outlineLvl w:val="0"/>
        <w:rPr>
          <w:kern w:val="28"/>
          <w:lang w:val="en-US"/>
        </w:rPr>
      </w:pPr>
      <w:r>
        <w:rPr>
          <w:sz w:val="20"/>
          <w:szCs w:val="20"/>
          <w:lang w:val="en-US"/>
        </w:rPr>
        <w:t xml:space="preserve">Sejmuto z úrední desky dne:      </w:t>
      </w:r>
      <w:r>
        <w:rPr>
          <w:b/>
          <w:bCs/>
          <w:sz w:val="20"/>
          <w:szCs w:val="20"/>
          <w:lang w:val="en-US"/>
        </w:rPr>
        <w:t>25. 11. 2005</w:t>
      </w:r>
      <w:r>
        <w:rPr>
          <w:sz w:val="20"/>
          <w:szCs w:val="20"/>
          <w:lang w:val="en-US"/>
        </w:rPr>
        <w:t xml:space="preserve"> </w:t>
      </w:r>
      <w:r>
        <w:rPr>
          <w:lang w:val="en-US"/>
        </w:rPr>
        <w:t xml:space="preserve"> </w:t>
      </w:r>
    </w:p>
    <w:p w:rsidR="00000000" w:rsidRDefault="00FE2E8D">
      <w:pPr>
        <w:overflowPunct w:val="0"/>
        <w:rPr>
          <w:kern w:val="28"/>
          <w:sz w:val="20"/>
          <w:szCs w:val="20"/>
        </w:rPr>
      </w:pPr>
      <w:r>
        <w:rPr>
          <w:lang w:val="en-US"/>
        </w:rPr>
        <w:t xml:space="preserve">                                                             </w:t>
      </w:r>
    </w:p>
    <w:p w:rsidR="00FE2E8D" w:rsidRDefault="00FE2E8D">
      <w:pPr>
        <w:rPr>
          <w:sz w:val="28"/>
          <w:szCs w:val="28"/>
        </w:rPr>
      </w:pPr>
    </w:p>
    <w:sectPr w:rsidR="00FE2E8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B01"/>
    <w:multiLevelType w:val="singleLevel"/>
    <w:tmpl w:val="C8EEF1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E594490"/>
    <w:multiLevelType w:val="singleLevel"/>
    <w:tmpl w:val="C8EEF1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1966C30"/>
    <w:multiLevelType w:val="singleLevel"/>
    <w:tmpl w:val="C8EEF1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27C4760"/>
    <w:multiLevelType w:val="singleLevel"/>
    <w:tmpl w:val="C8EEF1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0E6494F"/>
    <w:multiLevelType w:val="singleLevel"/>
    <w:tmpl w:val="C8EEF1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DAA116C"/>
    <w:multiLevelType w:val="singleLevel"/>
    <w:tmpl w:val="0C66E408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DAE4A91"/>
    <w:multiLevelType w:val="singleLevel"/>
    <w:tmpl w:val="C8EEF1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AA"/>
    <w:rsid w:val="000774AA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AF3DFF-7721-46D1-AB04-5F7974AD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outlineLvl w:val="2"/>
    </w:p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  <w:overflowPunct w:val="0"/>
    </w:pPr>
    <w:rPr>
      <w:rFonts w:ascii="Tahoma" w:hAnsi="Tahoma" w:cs="Tahoma"/>
      <w:kern w:val="28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 OBCE   O S L N O V I C E, č</vt:lpstr>
    </vt:vector>
  </TitlesOfParts>
  <Company>ivan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 OBCE   O S L N O V I C E, č</dc:title>
  <dc:subject/>
  <dc:creator>***</dc:creator>
  <cp:keywords/>
  <dc:description/>
  <cp:lastModifiedBy>lubom</cp:lastModifiedBy>
  <cp:revision>2</cp:revision>
  <dcterms:created xsi:type="dcterms:W3CDTF">2019-05-24T13:06:00Z</dcterms:created>
  <dcterms:modified xsi:type="dcterms:W3CDTF">2019-05-24T13:06:00Z</dcterms:modified>
</cp:coreProperties>
</file>